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65" w:rsidRDefault="00ED2F65"/>
    <w:p w:rsidR="00AB4A3D" w:rsidRDefault="00AB4A3D" w:rsidP="00AB4A3D">
      <w:pPr>
        <w:jc w:val="center"/>
      </w:pPr>
      <w:r>
        <w:t>2017 PREA AUDIT REPORT</w:t>
      </w:r>
    </w:p>
    <w:p w:rsidR="00AB4A3D" w:rsidRPr="00AB4A3D" w:rsidRDefault="00AB4A3D" w:rsidP="00AB4A3D">
      <w:pPr>
        <w:jc w:val="center"/>
        <w:rPr>
          <w:sz w:val="20"/>
          <w:szCs w:val="20"/>
        </w:rPr>
      </w:pPr>
      <w:r w:rsidRPr="00AB4A3D">
        <w:rPr>
          <w:sz w:val="20"/>
          <w:szCs w:val="20"/>
        </w:rPr>
        <w:t>Prepared by PREA Coordinator F.H. (Buddy) Martin</w:t>
      </w:r>
    </w:p>
    <w:p w:rsidR="00AB4A3D" w:rsidRDefault="00AB4A3D">
      <w:bookmarkStart w:id="0" w:name="_GoBack"/>
      <w:bookmarkEnd w:id="0"/>
    </w:p>
    <w:p w:rsidR="00AB4A3D" w:rsidRPr="00416A99" w:rsidRDefault="00AB4A3D">
      <w:pPr>
        <w:rPr>
          <w:b/>
          <w:u w:val="single"/>
        </w:rPr>
      </w:pPr>
      <w:r w:rsidRPr="00416A99">
        <w:rPr>
          <w:b/>
          <w:u w:val="single"/>
        </w:rPr>
        <w:t>Background</w:t>
      </w:r>
    </w:p>
    <w:p w:rsidR="00AB4A3D" w:rsidRDefault="00DB793C">
      <w:r>
        <w:t>The Prison Rape Elimination Act (PREA) was passed by Congress and signed into federal law by President George W. Bush in 2003 to prevent, detect and respond to sexual abuse and sexual harassment occurring in confinement settings.  The National Prison Rape Elimination Commission developed national standards which apply to adult prisons and jails, juvenile facilities, lockups and community confinement facilities.</w:t>
      </w:r>
    </w:p>
    <w:p w:rsidR="00416A99" w:rsidRDefault="00416A99"/>
    <w:p w:rsidR="00416A99" w:rsidRPr="00416A99" w:rsidRDefault="00416A99">
      <w:pPr>
        <w:rPr>
          <w:b/>
          <w:u w:val="single"/>
        </w:rPr>
      </w:pPr>
      <w:r w:rsidRPr="00416A99">
        <w:rPr>
          <w:b/>
          <w:u w:val="single"/>
        </w:rPr>
        <w:t>2nd 25th Judicial District I.S.F. Zero Tolerance Policy</w:t>
      </w:r>
    </w:p>
    <w:p w:rsidR="00416A99" w:rsidRDefault="00DB793C">
      <w:r>
        <w:t>The 2nd 25th Judicial District I.S.F. has had a Zero Tolerance Policy for all forms of sexual abuse and sexual harassment wi</w:t>
      </w:r>
      <w:r w:rsidR="00600B63">
        <w:t xml:space="preserve">thin its facility since </w:t>
      </w:r>
      <w:r w:rsidR="007017FA">
        <w:t xml:space="preserve">October, 2002.  It has been the policy of the I.S.F. to respond to and administratively and/or criminally investigate all alleged incidents of a sexual nature.  Every reported incident of a sexual nature will be taken seriously, investigated fully, and appropriate action will be taken as needed.  </w:t>
      </w:r>
    </w:p>
    <w:p w:rsidR="007017FA" w:rsidRDefault="007017FA"/>
    <w:p w:rsidR="007017FA" w:rsidRDefault="007017FA">
      <w:r>
        <w:t>The I.S.F. was not guided by PREA standards during 2017.</w:t>
      </w:r>
    </w:p>
    <w:p w:rsidR="00DB793C" w:rsidRDefault="00DB793C"/>
    <w:p w:rsidR="00416A99" w:rsidRPr="00416A99" w:rsidRDefault="00416A99">
      <w:pPr>
        <w:rPr>
          <w:b/>
          <w:u w:val="single"/>
        </w:rPr>
      </w:pPr>
      <w:r w:rsidRPr="00416A99">
        <w:rPr>
          <w:b/>
          <w:u w:val="single"/>
        </w:rPr>
        <w:t>2017 Survey of Sexual Violence</w:t>
      </w:r>
    </w:p>
    <w:p w:rsidR="00416A99" w:rsidRDefault="007017FA">
      <w:r>
        <w:t>There was no data collected during 2017.</w:t>
      </w:r>
    </w:p>
    <w:p w:rsidR="007017FA" w:rsidRDefault="007017FA"/>
    <w:p w:rsidR="00416A99" w:rsidRPr="00416A99" w:rsidRDefault="00416A99">
      <w:pPr>
        <w:rPr>
          <w:b/>
          <w:u w:val="single"/>
        </w:rPr>
      </w:pPr>
      <w:r w:rsidRPr="00416A99">
        <w:rPr>
          <w:b/>
          <w:u w:val="single"/>
        </w:rPr>
        <w:t>Effectiveness of PREA efforts</w:t>
      </w:r>
    </w:p>
    <w:p w:rsidR="00416A99" w:rsidRDefault="007017FA">
      <w:r>
        <w:t>Unknown</w:t>
      </w:r>
    </w:p>
    <w:p w:rsidR="007017FA" w:rsidRDefault="007017FA"/>
    <w:p w:rsidR="00416A99" w:rsidRPr="00416A99" w:rsidRDefault="00416A99">
      <w:pPr>
        <w:rPr>
          <w:b/>
          <w:u w:val="single"/>
        </w:rPr>
      </w:pPr>
      <w:r w:rsidRPr="00416A99">
        <w:rPr>
          <w:b/>
          <w:u w:val="single"/>
        </w:rPr>
        <w:t>Progress in 2017</w:t>
      </w:r>
    </w:p>
    <w:p w:rsidR="007017FA" w:rsidRDefault="007017FA">
      <w:r>
        <w:t>Unknown</w:t>
      </w:r>
    </w:p>
    <w:p w:rsidR="007017FA" w:rsidRDefault="007017FA"/>
    <w:p w:rsidR="00416A99" w:rsidRPr="00416A99" w:rsidRDefault="00416A99">
      <w:pPr>
        <w:rPr>
          <w:b/>
          <w:u w:val="single"/>
        </w:rPr>
      </w:pPr>
      <w:r w:rsidRPr="00416A99">
        <w:rPr>
          <w:b/>
          <w:u w:val="single"/>
        </w:rPr>
        <w:t>Continuing Areas of Focus and Improvement for 2018</w:t>
      </w:r>
    </w:p>
    <w:p w:rsidR="00416A99" w:rsidRDefault="00663318">
      <w:r>
        <w:t>Unknown</w:t>
      </w:r>
    </w:p>
    <w:p w:rsidR="007017FA" w:rsidRDefault="007017FA"/>
    <w:p w:rsidR="00416A99" w:rsidRPr="00416A99" w:rsidRDefault="00416A99">
      <w:pPr>
        <w:rPr>
          <w:b/>
          <w:u w:val="single"/>
        </w:rPr>
      </w:pPr>
      <w:r w:rsidRPr="00416A99">
        <w:rPr>
          <w:b/>
          <w:u w:val="single"/>
        </w:rPr>
        <w:t>Conclusion:</w:t>
      </w:r>
    </w:p>
    <w:p w:rsidR="00416A99" w:rsidRDefault="00663318">
      <w:r>
        <w:t>None could be made.</w:t>
      </w:r>
    </w:p>
    <w:p w:rsidR="00416A99" w:rsidRDefault="00416A99"/>
    <w:p w:rsidR="00AB4A3D" w:rsidRDefault="00AB4A3D"/>
    <w:p w:rsidR="00AB4A3D" w:rsidRDefault="00AB4A3D"/>
    <w:p w:rsidR="00567438" w:rsidRDefault="00567438" w:rsidP="00567438"/>
    <w:p w:rsidR="00567438" w:rsidRPr="000E0231" w:rsidRDefault="00567438" w:rsidP="00567438">
      <w:pPr>
        <w:rPr>
          <w:u w:val="single"/>
        </w:rPr>
      </w:pPr>
      <w:r w:rsidRPr="002C201B">
        <w:rPr>
          <w:u w:val="single"/>
        </w:rPr>
        <w:t xml:space="preserve">       F.H. (Buddy) Martin                   </w:t>
      </w:r>
      <w:r>
        <w:t xml:space="preserve">         </w:t>
      </w:r>
      <w:r>
        <w:tab/>
      </w:r>
      <w:r>
        <w:tab/>
      </w:r>
      <w:r w:rsidRPr="002C201B">
        <w:rPr>
          <w:u w:val="single"/>
        </w:rPr>
        <w:t xml:space="preserve">      5/16/19</w:t>
      </w:r>
      <w:r>
        <w:rPr>
          <w:u w:val="single"/>
        </w:rPr>
        <w:t>____</w:t>
      </w:r>
    </w:p>
    <w:p w:rsidR="00567438" w:rsidRDefault="00567438" w:rsidP="00567438">
      <w:r>
        <w:t>I.S.F. Director</w:t>
      </w:r>
      <w:r>
        <w:tab/>
      </w:r>
      <w:r>
        <w:tab/>
      </w:r>
      <w:r>
        <w:tab/>
      </w:r>
      <w:r>
        <w:tab/>
      </w:r>
      <w:r>
        <w:tab/>
      </w:r>
      <w:r>
        <w:tab/>
        <w:t xml:space="preserve">    Date</w:t>
      </w:r>
    </w:p>
    <w:p w:rsidR="00567438" w:rsidRDefault="00567438" w:rsidP="00567438"/>
    <w:p w:rsidR="00AB4A3D" w:rsidRDefault="00AB4A3D"/>
    <w:p w:rsidR="00AB4A3D" w:rsidRDefault="00AB4A3D"/>
    <w:p w:rsidR="003B64F6" w:rsidRDefault="003B64F6"/>
    <w:sectPr w:rsidR="003B64F6" w:rsidSect="003B64F6">
      <w:headerReference w:type="first" r:id="rId7"/>
      <w:pgSz w:w="12240" w:h="15840"/>
      <w:pgMar w:top="1440" w:right="1440" w:bottom="1440" w:left="1440" w:header="36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D4F" w:rsidRDefault="00814D4F" w:rsidP="003B64F6">
      <w:r>
        <w:separator/>
      </w:r>
    </w:p>
  </w:endnote>
  <w:endnote w:type="continuationSeparator" w:id="0">
    <w:p w:rsidR="00814D4F" w:rsidRDefault="00814D4F" w:rsidP="003B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D4F" w:rsidRDefault="00814D4F" w:rsidP="003B64F6">
      <w:r>
        <w:separator/>
      </w:r>
    </w:p>
  </w:footnote>
  <w:footnote w:type="continuationSeparator" w:id="0">
    <w:p w:rsidR="00814D4F" w:rsidRDefault="00814D4F" w:rsidP="003B6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4F6" w:rsidRDefault="003B64F6" w:rsidP="003B64F6">
    <w:pPr>
      <w:pStyle w:val="Header"/>
      <w:ind w:left="-810"/>
      <w:rPr>
        <w:noProof/>
      </w:rPr>
    </w:pPr>
    <w:r>
      <w:rPr>
        <w:noProof/>
      </w:rPr>
      <mc:AlternateContent>
        <mc:Choice Requires="wps">
          <w:drawing>
            <wp:anchor distT="0" distB="0" distL="114300" distR="114300" simplePos="0" relativeHeight="251659264" behindDoc="0" locked="0" layoutInCell="1" allowOverlap="1" wp14:anchorId="7822FF55" wp14:editId="71AA58A9">
              <wp:simplePos x="0" y="0"/>
              <wp:positionH relativeFrom="column">
                <wp:posOffset>876300</wp:posOffset>
              </wp:positionH>
              <wp:positionV relativeFrom="paragraph">
                <wp:posOffset>0</wp:posOffset>
              </wp:positionV>
              <wp:extent cx="4953000" cy="1123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953000"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7758" w:type="dxa"/>
                            <w:tblBorders>
                              <w:insideV w:val="single" w:sz="4" w:space="0" w:color="auto"/>
                            </w:tblBorders>
                            <w:tblLook w:val="01E0" w:firstRow="1" w:lastRow="1" w:firstColumn="1" w:lastColumn="1" w:noHBand="0" w:noVBand="0"/>
                          </w:tblPr>
                          <w:tblGrid>
                            <w:gridCol w:w="7758"/>
                          </w:tblGrid>
                          <w:tr w:rsidR="00AB4A3D" w:rsidRPr="00594D73" w:rsidTr="00416A99">
                            <w:trPr>
                              <w:trHeight w:hRule="exact" w:val="370"/>
                            </w:trPr>
                            <w:tc>
                              <w:tcPr>
                                <w:tcW w:w="7758" w:type="dxa"/>
                              </w:tcPr>
                              <w:p w:rsidR="00AB4A3D" w:rsidRPr="00594D73" w:rsidRDefault="00AB4A3D" w:rsidP="003464ED">
                                <w:pPr>
                                  <w:widowControl w:val="0"/>
                                  <w:autoSpaceDE w:val="0"/>
                                  <w:autoSpaceDN w:val="0"/>
                                  <w:adjustRightInd w:val="0"/>
                                  <w:jc w:val="center"/>
                                  <w:rPr>
                                    <w:sz w:val="29"/>
                                    <w:szCs w:val="29"/>
                                  </w:rPr>
                                </w:pPr>
                                <w:r>
                                  <w:rPr>
                                    <w:sz w:val="29"/>
                                    <w:szCs w:val="29"/>
                                  </w:rPr>
                                  <w:t>2nd 25th Judicial District Intermediate Sanction Facility (ISF)</w:t>
                                </w:r>
                              </w:p>
                            </w:tc>
                          </w:tr>
                          <w:tr w:rsidR="00AB4A3D" w:rsidRPr="00594D73" w:rsidTr="00416A99">
                            <w:trPr>
                              <w:trHeight w:hRule="exact" w:val="343"/>
                            </w:trPr>
                            <w:tc>
                              <w:tcPr>
                                <w:tcW w:w="7758" w:type="dxa"/>
                              </w:tcPr>
                              <w:p w:rsidR="00AB4A3D" w:rsidRPr="00594D73" w:rsidRDefault="00AB4A3D" w:rsidP="00AB4A3D">
                                <w:pPr>
                                  <w:widowControl w:val="0"/>
                                  <w:autoSpaceDE w:val="0"/>
                                  <w:autoSpaceDN w:val="0"/>
                                  <w:adjustRightInd w:val="0"/>
                                  <w:jc w:val="center"/>
                                  <w:rPr>
                                    <w:sz w:val="29"/>
                                    <w:szCs w:val="29"/>
                                  </w:rPr>
                                </w:pPr>
                                <w:r>
                                  <w:rPr>
                                    <w:sz w:val="29"/>
                                    <w:szCs w:val="29"/>
                                  </w:rPr>
                                  <w:t>4024 F M 794</w:t>
                                </w:r>
                              </w:p>
                            </w:tc>
                          </w:tr>
                          <w:tr w:rsidR="00AB4A3D" w:rsidRPr="00594D73" w:rsidTr="00416A99">
                            <w:trPr>
                              <w:trHeight w:hRule="exact" w:val="415"/>
                            </w:trPr>
                            <w:tc>
                              <w:tcPr>
                                <w:tcW w:w="7758" w:type="dxa"/>
                              </w:tcPr>
                              <w:p w:rsidR="00AB4A3D" w:rsidRPr="00594D73" w:rsidRDefault="00AB4A3D" w:rsidP="00AB4A3D">
                                <w:pPr>
                                  <w:widowControl w:val="0"/>
                                  <w:autoSpaceDE w:val="0"/>
                                  <w:autoSpaceDN w:val="0"/>
                                  <w:adjustRightInd w:val="0"/>
                                  <w:jc w:val="center"/>
                                  <w:rPr>
                                    <w:sz w:val="29"/>
                                    <w:szCs w:val="29"/>
                                  </w:rPr>
                                </w:pPr>
                                <w:r>
                                  <w:rPr>
                                    <w:sz w:val="29"/>
                                    <w:szCs w:val="29"/>
                                  </w:rPr>
                                  <w:t>Gonzales, TX 78629</w:t>
                                </w:r>
                              </w:p>
                            </w:tc>
                          </w:tr>
                          <w:tr w:rsidR="00AB4A3D" w:rsidRPr="00594D73" w:rsidTr="00416A99">
                            <w:trPr>
                              <w:trHeight w:hRule="exact" w:val="388"/>
                            </w:trPr>
                            <w:tc>
                              <w:tcPr>
                                <w:tcW w:w="7758" w:type="dxa"/>
                              </w:tcPr>
                              <w:p w:rsidR="00AB4A3D" w:rsidRPr="00AB4A3D" w:rsidRDefault="00AB4A3D" w:rsidP="003464ED">
                                <w:pPr>
                                  <w:widowControl w:val="0"/>
                                  <w:autoSpaceDE w:val="0"/>
                                  <w:autoSpaceDN w:val="0"/>
                                  <w:adjustRightInd w:val="0"/>
                                  <w:rPr>
                                    <w:sz w:val="29"/>
                                    <w:szCs w:val="29"/>
                                  </w:rPr>
                                </w:pPr>
                                <w:r w:rsidRPr="00AB4A3D">
                                  <w:rPr>
                                    <w:sz w:val="29"/>
                                    <w:szCs w:val="29"/>
                                  </w:rPr>
                                  <w:t>830-672-3622                                  Fax: 830-672-3071</w:t>
                                </w:r>
                              </w:p>
                            </w:tc>
                          </w:tr>
                        </w:tbl>
                        <w:p w:rsidR="003B64F6" w:rsidRDefault="003B64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9pt;margin-top:0;width:390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sgjAIAAIsFAAAOAAAAZHJzL2Uyb0RvYy54bWysVE1v2zAMvQ/YfxB0X52kabcGdYqsRYcB&#10;RVusHXpWZKkxJouapCTOfv2eZOdjXS8ddrEp8pEUn0ieX7SNYSvlQ0225MOjAWfKSqpq+1zy74/X&#10;Hz5xFqKwlTBkVck3KvCL6ft352s3USNakKmUZwhiw2TtSr6I0U2KIsiFakQ4IqcsjJp8IyKO/rmo&#10;vFgjemOK0WBwWqzJV86TVCFAe9UZ+TTH11rJeKd1UJGZkuNuMX99/s7Tt5iei8mzF25Ry/4a4h9u&#10;0YjaIuku1JWIgi19/VeoppaeAul4JKkpSOtaqlwDqhkOXlTzsBBO5VpATnA7msL/CytvV/ee1VXJ&#10;x5xZ0eCJHlUb2Wdq2Tixs3ZhAtCDAyy2UOOVt/oAZSq61b5Jf5TDYAfPmx23KZiEcnx2cjwYwCRh&#10;Gw5Hx2cnmf1i7+58iF8UNSwJJfd4vMypWN2EiKsAuoWkbIFMXV3XxuRDahh1aTxbCTy1ifmS8PgD&#10;ZSxbl/z0GKmTk6Xk3kU2NmlUbpk+XSq9KzFLcWNUwhj7TWlQlit9JbeQUtld/oxOKI1Ub3Hs8ftb&#10;vcW5qwMeOTPZuHNuaks+V59nbE9Z9WNLme7wIPyg7iTGdt72LTGnaoOO8NRNVHDyusar3YgQ74XH&#10;COGlsRbiHT7aEFinXuJsQf7Xa/qER2fDytkaI1ny8HMpvOLMfLXo+bPheJxmOB/GJx9HOPhDy/zQ&#10;YpfNJaEVhlhATmYx4aPZitpT84TtMUtZYRJWInfJ41a8jN2iwPaRajbLIEytE/HGPjiZQid6U08+&#10;tk/Cu75xI3r+lrbDKyYv+rfDJk9Ls2UkXefmTgR3rPbEY+Jzz/fbKa2Uw3NG7Xfo9DcAAAD//wMA&#10;UEsDBBQABgAIAAAAIQDP+YLb3wAAAAgBAAAPAAAAZHJzL2Rvd25yZXYueG1sTI9PS8NAEMXvgt9h&#10;GcGL2E0NNm3Mpoj4B7zZ2BZv2+yYBLOzIbtN4rd3erKXgTdvePN72XqyrRiw940jBfNZBAKpdKah&#10;SsFn8XK7BOGDJqNbR6jgFz2s88uLTKfGjfSBwyZUgkPIp1pBHUKXSunLGq32M9chsffteqsDy76S&#10;ptcjh9tW3kXRQlrdEH+odYdPNZY/m6NV8HVT7d/99Lod4/u4e34bimRnCqWur6bHBxABp/B/DCd8&#10;RoecmQ7uSMaLlnW85C5BAU+2V/OTPPA+SSKQeSbPC+R/AAAA//8DAFBLAQItABQABgAIAAAAIQC2&#10;gziS/gAAAOEBAAATAAAAAAAAAAAAAAAAAAAAAABbQ29udGVudF9UeXBlc10ueG1sUEsBAi0AFAAG&#10;AAgAAAAhADj9If/WAAAAlAEAAAsAAAAAAAAAAAAAAAAALwEAAF9yZWxzLy5yZWxzUEsBAi0AFAAG&#10;AAgAAAAhAN52WyCMAgAAiwUAAA4AAAAAAAAAAAAAAAAALgIAAGRycy9lMm9Eb2MueG1sUEsBAi0A&#10;FAAGAAgAAAAhAM/5gtvfAAAACAEAAA8AAAAAAAAAAAAAAAAA5gQAAGRycy9kb3ducmV2LnhtbFBL&#10;BQYAAAAABAAEAPMAAADyBQAAAAA=&#10;" fillcolor="white [3201]" stroked="f" strokeweight=".5pt">
              <v:textbox>
                <w:txbxContent>
                  <w:tbl>
                    <w:tblPr>
                      <w:tblW w:w="7758" w:type="dxa"/>
                      <w:tblBorders>
                        <w:insideV w:val="single" w:sz="4" w:space="0" w:color="auto"/>
                      </w:tblBorders>
                      <w:tblLook w:val="01E0" w:firstRow="1" w:lastRow="1" w:firstColumn="1" w:lastColumn="1" w:noHBand="0" w:noVBand="0"/>
                    </w:tblPr>
                    <w:tblGrid>
                      <w:gridCol w:w="7758"/>
                    </w:tblGrid>
                    <w:tr w:rsidR="00AB4A3D" w:rsidRPr="00594D73" w:rsidTr="00416A99">
                      <w:trPr>
                        <w:trHeight w:hRule="exact" w:val="370"/>
                      </w:trPr>
                      <w:tc>
                        <w:tcPr>
                          <w:tcW w:w="7758" w:type="dxa"/>
                        </w:tcPr>
                        <w:p w:rsidR="00AB4A3D" w:rsidRPr="00594D73" w:rsidRDefault="00AB4A3D" w:rsidP="003464ED">
                          <w:pPr>
                            <w:widowControl w:val="0"/>
                            <w:autoSpaceDE w:val="0"/>
                            <w:autoSpaceDN w:val="0"/>
                            <w:adjustRightInd w:val="0"/>
                            <w:jc w:val="center"/>
                            <w:rPr>
                              <w:sz w:val="29"/>
                              <w:szCs w:val="29"/>
                            </w:rPr>
                          </w:pPr>
                          <w:r>
                            <w:rPr>
                              <w:sz w:val="29"/>
                              <w:szCs w:val="29"/>
                            </w:rPr>
                            <w:t>2nd 25th Judicial District Intermediate Sanction Facility (ISF)</w:t>
                          </w:r>
                        </w:p>
                      </w:tc>
                    </w:tr>
                    <w:tr w:rsidR="00AB4A3D" w:rsidRPr="00594D73" w:rsidTr="00416A99">
                      <w:trPr>
                        <w:trHeight w:hRule="exact" w:val="343"/>
                      </w:trPr>
                      <w:tc>
                        <w:tcPr>
                          <w:tcW w:w="7758" w:type="dxa"/>
                        </w:tcPr>
                        <w:p w:rsidR="00AB4A3D" w:rsidRPr="00594D73" w:rsidRDefault="00AB4A3D" w:rsidP="00AB4A3D">
                          <w:pPr>
                            <w:widowControl w:val="0"/>
                            <w:autoSpaceDE w:val="0"/>
                            <w:autoSpaceDN w:val="0"/>
                            <w:adjustRightInd w:val="0"/>
                            <w:jc w:val="center"/>
                            <w:rPr>
                              <w:sz w:val="29"/>
                              <w:szCs w:val="29"/>
                            </w:rPr>
                          </w:pPr>
                          <w:r>
                            <w:rPr>
                              <w:sz w:val="29"/>
                              <w:szCs w:val="29"/>
                            </w:rPr>
                            <w:t>4024 F M 794</w:t>
                          </w:r>
                        </w:p>
                      </w:tc>
                    </w:tr>
                    <w:tr w:rsidR="00AB4A3D" w:rsidRPr="00594D73" w:rsidTr="00416A99">
                      <w:trPr>
                        <w:trHeight w:hRule="exact" w:val="415"/>
                      </w:trPr>
                      <w:tc>
                        <w:tcPr>
                          <w:tcW w:w="7758" w:type="dxa"/>
                        </w:tcPr>
                        <w:p w:rsidR="00AB4A3D" w:rsidRPr="00594D73" w:rsidRDefault="00AB4A3D" w:rsidP="00AB4A3D">
                          <w:pPr>
                            <w:widowControl w:val="0"/>
                            <w:autoSpaceDE w:val="0"/>
                            <w:autoSpaceDN w:val="0"/>
                            <w:adjustRightInd w:val="0"/>
                            <w:jc w:val="center"/>
                            <w:rPr>
                              <w:sz w:val="29"/>
                              <w:szCs w:val="29"/>
                            </w:rPr>
                          </w:pPr>
                          <w:r>
                            <w:rPr>
                              <w:sz w:val="29"/>
                              <w:szCs w:val="29"/>
                            </w:rPr>
                            <w:t>Gonzales, TX 78629</w:t>
                          </w:r>
                        </w:p>
                      </w:tc>
                    </w:tr>
                    <w:tr w:rsidR="00AB4A3D" w:rsidRPr="00594D73" w:rsidTr="00416A99">
                      <w:trPr>
                        <w:trHeight w:hRule="exact" w:val="388"/>
                      </w:trPr>
                      <w:tc>
                        <w:tcPr>
                          <w:tcW w:w="7758" w:type="dxa"/>
                        </w:tcPr>
                        <w:p w:rsidR="00AB4A3D" w:rsidRPr="00AB4A3D" w:rsidRDefault="00AB4A3D" w:rsidP="003464ED">
                          <w:pPr>
                            <w:widowControl w:val="0"/>
                            <w:autoSpaceDE w:val="0"/>
                            <w:autoSpaceDN w:val="0"/>
                            <w:adjustRightInd w:val="0"/>
                            <w:rPr>
                              <w:sz w:val="29"/>
                              <w:szCs w:val="29"/>
                            </w:rPr>
                          </w:pPr>
                          <w:r w:rsidRPr="00AB4A3D">
                            <w:rPr>
                              <w:sz w:val="29"/>
                              <w:szCs w:val="29"/>
                            </w:rPr>
                            <w:t>830-672-3622                                  Fax: 830-672-3071</w:t>
                          </w:r>
                        </w:p>
                      </w:tc>
                    </w:tr>
                  </w:tbl>
                  <w:p w:rsidR="003B64F6" w:rsidRDefault="003B64F6"/>
                </w:txbxContent>
              </v:textbox>
            </v:shape>
          </w:pict>
        </mc:Fallback>
      </mc:AlternateContent>
    </w:r>
    <w:r>
      <w:rPr>
        <w:noProof/>
      </w:rPr>
      <w:drawing>
        <wp:inline distT="0" distB="0" distL="0" distR="0" wp14:anchorId="62A3DE5F">
          <wp:extent cx="1134110" cy="11277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1127760"/>
                  </a:xfrm>
                  <a:prstGeom prst="rect">
                    <a:avLst/>
                  </a:prstGeom>
                  <a:noFill/>
                </pic:spPr>
              </pic:pic>
            </a:graphicData>
          </a:graphic>
        </wp:inline>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F6"/>
    <w:rsid w:val="003B64F6"/>
    <w:rsid w:val="00416A99"/>
    <w:rsid w:val="004F5874"/>
    <w:rsid w:val="00567438"/>
    <w:rsid w:val="00600B63"/>
    <w:rsid w:val="00663318"/>
    <w:rsid w:val="007017FA"/>
    <w:rsid w:val="007D3086"/>
    <w:rsid w:val="00814D4F"/>
    <w:rsid w:val="00AB249E"/>
    <w:rsid w:val="00AB4A3D"/>
    <w:rsid w:val="00CF1E71"/>
    <w:rsid w:val="00D12A44"/>
    <w:rsid w:val="00DB793C"/>
    <w:rsid w:val="00E17EF4"/>
    <w:rsid w:val="00ED2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F6"/>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4F6"/>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3B64F6"/>
  </w:style>
  <w:style w:type="paragraph" w:styleId="Footer">
    <w:name w:val="footer"/>
    <w:basedOn w:val="Normal"/>
    <w:link w:val="FooterChar"/>
    <w:uiPriority w:val="99"/>
    <w:unhideWhenUsed/>
    <w:rsid w:val="003B64F6"/>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3B64F6"/>
  </w:style>
  <w:style w:type="paragraph" w:styleId="BalloonText">
    <w:name w:val="Balloon Text"/>
    <w:basedOn w:val="Normal"/>
    <w:link w:val="BalloonTextChar"/>
    <w:uiPriority w:val="99"/>
    <w:semiHidden/>
    <w:unhideWhenUsed/>
    <w:rsid w:val="003B64F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B64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4F6"/>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4F6"/>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3B64F6"/>
  </w:style>
  <w:style w:type="paragraph" w:styleId="Footer">
    <w:name w:val="footer"/>
    <w:basedOn w:val="Normal"/>
    <w:link w:val="FooterChar"/>
    <w:uiPriority w:val="99"/>
    <w:unhideWhenUsed/>
    <w:rsid w:val="003B64F6"/>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3B64F6"/>
  </w:style>
  <w:style w:type="paragraph" w:styleId="BalloonText">
    <w:name w:val="Balloon Text"/>
    <w:basedOn w:val="Normal"/>
    <w:link w:val="BalloonTextChar"/>
    <w:uiPriority w:val="99"/>
    <w:semiHidden/>
    <w:unhideWhenUsed/>
    <w:rsid w:val="003B64F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B64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BuddyMartin</dc:creator>
  <cp:lastModifiedBy>BuddyMartin</cp:lastModifiedBy>
  <cp:revision>3</cp:revision>
  <dcterms:created xsi:type="dcterms:W3CDTF">2019-05-16T14:13:00Z</dcterms:created>
  <dcterms:modified xsi:type="dcterms:W3CDTF">2019-05-16T14:56:00Z</dcterms:modified>
</cp:coreProperties>
</file>