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65" w:rsidRDefault="00ED2F65"/>
    <w:p w:rsidR="00AB4A3D" w:rsidRDefault="009D502C" w:rsidP="00AB4A3D">
      <w:pPr>
        <w:jc w:val="center"/>
      </w:pPr>
      <w:r>
        <w:t>2018</w:t>
      </w:r>
      <w:r w:rsidR="00AB4A3D">
        <w:t xml:space="preserve"> PREA AUDIT REPORT</w:t>
      </w:r>
    </w:p>
    <w:p w:rsidR="00AB4A3D" w:rsidRPr="00AB4A3D" w:rsidRDefault="00AB4A3D" w:rsidP="00AB4A3D">
      <w:pPr>
        <w:jc w:val="center"/>
        <w:rPr>
          <w:sz w:val="20"/>
          <w:szCs w:val="20"/>
        </w:rPr>
      </w:pPr>
      <w:r w:rsidRPr="00AB4A3D">
        <w:rPr>
          <w:sz w:val="20"/>
          <w:szCs w:val="20"/>
        </w:rPr>
        <w:t>Prepared by PREA Coordinator F.H. (Buddy) Martin</w:t>
      </w:r>
    </w:p>
    <w:p w:rsidR="00AB4A3D" w:rsidRDefault="00AB4A3D"/>
    <w:p w:rsidR="00AB4A3D" w:rsidRPr="00416A99" w:rsidRDefault="00AB4A3D">
      <w:pPr>
        <w:rPr>
          <w:b/>
          <w:u w:val="single"/>
        </w:rPr>
      </w:pPr>
      <w:r w:rsidRPr="00416A99">
        <w:rPr>
          <w:b/>
          <w:u w:val="single"/>
        </w:rPr>
        <w:t>Background</w:t>
      </w:r>
    </w:p>
    <w:p w:rsidR="00AB4A3D" w:rsidRDefault="00DB793C">
      <w:r>
        <w:t>The Prison Rape Elimination Act (PREA) was passed by Congress and signed into federal law by President George W. Bush in 2003 to prevent, detect and respond to sexual abuse and sexual harassment occurring in confinement settings.  The National Prison Rape Elimination Commission developed national standards which apply to adult prisons and jails, juvenile facilities, lockups and community confinement facilities.</w:t>
      </w:r>
    </w:p>
    <w:p w:rsidR="00416A99" w:rsidRDefault="00416A99"/>
    <w:p w:rsidR="00416A99" w:rsidRPr="00416A99" w:rsidRDefault="00416A99">
      <w:pPr>
        <w:rPr>
          <w:b/>
          <w:u w:val="single"/>
        </w:rPr>
      </w:pPr>
      <w:r w:rsidRPr="00416A99">
        <w:rPr>
          <w:b/>
          <w:u w:val="single"/>
        </w:rPr>
        <w:t>2nd 25th Judicial District I.S.F. Zero Tolerance Policy</w:t>
      </w:r>
    </w:p>
    <w:p w:rsidR="00416A99" w:rsidRDefault="00DB793C">
      <w:r>
        <w:t>The 2nd 25th Judicial District I.S.F. has had a Zero Tolerance Policy for all forms of sexual abuse and sexual harassment wi</w:t>
      </w:r>
      <w:r w:rsidR="00600B63">
        <w:t xml:space="preserve">thin its facility since </w:t>
      </w:r>
      <w:r w:rsidR="007017FA">
        <w:t xml:space="preserve">October, 2002.  It has been the policy of the I.S.F. to respond to and administratively and/or criminally investigate all alleged incidents of a sexual nature.  Every reported incident of a sexual nature will be taken seriously, investigated fully, and appropriate action will be taken as needed.  </w:t>
      </w:r>
    </w:p>
    <w:p w:rsidR="007017FA" w:rsidRDefault="007017FA"/>
    <w:p w:rsidR="007017FA" w:rsidRDefault="007017FA">
      <w:r>
        <w:t>The I.S.F. was not guided by PREA standards dur</w:t>
      </w:r>
      <w:r w:rsidR="009D502C">
        <w:t>ing 2018</w:t>
      </w:r>
      <w:r>
        <w:t>.</w:t>
      </w:r>
      <w:r w:rsidR="009D502C">
        <w:t xml:space="preserve">  However, it was learned in late 2018 that the facility would be subject to an audit in March of 2019.  The facility immediately began to prepare for the audit.</w:t>
      </w:r>
    </w:p>
    <w:p w:rsidR="00DB793C" w:rsidRDefault="00DB793C"/>
    <w:p w:rsidR="00416A99" w:rsidRPr="00416A99" w:rsidRDefault="00262EAD">
      <w:pPr>
        <w:rPr>
          <w:b/>
          <w:u w:val="single"/>
        </w:rPr>
      </w:pPr>
      <w:r>
        <w:rPr>
          <w:b/>
          <w:u w:val="single"/>
        </w:rPr>
        <w:t>2018</w:t>
      </w:r>
      <w:r w:rsidR="00416A99" w:rsidRPr="00416A99">
        <w:rPr>
          <w:b/>
          <w:u w:val="single"/>
        </w:rPr>
        <w:t xml:space="preserve"> Survey of Sexual Violence</w:t>
      </w:r>
    </w:p>
    <w:p w:rsidR="00416A99" w:rsidRDefault="007017FA">
      <w:r>
        <w:t>There w</w:t>
      </w:r>
      <w:r w:rsidR="009D502C">
        <w:t>as no data collected during 2018, except in the last two months of the year</w:t>
      </w:r>
      <w:r>
        <w:t>.</w:t>
      </w:r>
      <w:r w:rsidR="009D502C">
        <w:t xml:space="preserve">  Beginning in 2019 the I.S.F. facility will collect data in accordance with PREA standard 115.287 in order to assess and improve the effectiveness of its sexual abuse prevention, detection, and response policies, practices and training.  </w:t>
      </w:r>
      <w:r w:rsidR="00C468B8">
        <w:t>The information collected for the report will be used to identify problem areas and to take corrective action on an ongoing basis.  This data must also be reported to the U.S. Department of Justice, Bureau of Justice Statistics, when requested.  The statistics for 2018 that were collected during November/December 2018 were:</w:t>
      </w:r>
    </w:p>
    <w:p w:rsidR="00C468B8" w:rsidRDefault="00C468B8"/>
    <w:p w:rsidR="00C468B8" w:rsidRDefault="00C468B8">
      <w:r>
        <w:t>Inmate on Inmate Nonconsensual Sexual Acts:</w:t>
      </w:r>
    </w:p>
    <w:p w:rsidR="00C468B8" w:rsidRDefault="00C468B8">
      <w:r>
        <w:tab/>
        <w:t>Substantiated</w:t>
      </w:r>
      <w:r>
        <w:tab/>
      </w:r>
      <w:r>
        <w:tab/>
        <w:t>0</w:t>
      </w:r>
    </w:p>
    <w:p w:rsidR="00C468B8" w:rsidRDefault="00C468B8">
      <w:r>
        <w:tab/>
        <w:t>Unsubstantiated</w:t>
      </w:r>
      <w:r>
        <w:tab/>
        <w:t>0</w:t>
      </w:r>
    </w:p>
    <w:p w:rsidR="00C468B8" w:rsidRPr="00262EAD" w:rsidRDefault="00C468B8">
      <w:pPr>
        <w:rPr>
          <w:u w:val="single"/>
        </w:rPr>
      </w:pPr>
      <w:r>
        <w:tab/>
      </w:r>
      <w:r w:rsidRPr="00262EAD">
        <w:rPr>
          <w:u w:val="single"/>
        </w:rPr>
        <w:t>Unfounded</w:t>
      </w:r>
      <w:r w:rsidRPr="00262EAD">
        <w:rPr>
          <w:u w:val="single"/>
        </w:rPr>
        <w:tab/>
      </w:r>
      <w:r w:rsidRPr="00262EAD">
        <w:rPr>
          <w:u w:val="single"/>
        </w:rPr>
        <w:tab/>
        <w:t>0</w:t>
      </w:r>
    </w:p>
    <w:p w:rsidR="00C468B8" w:rsidRDefault="00C468B8">
      <w:r>
        <w:tab/>
      </w:r>
      <w:r w:rsidR="00262EAD">
        <w:t>Total</w:t>
      </w:r>
      <w:r w:rsidR="00262EAD">
        <w:tab/>
      </w:r>
      <w:r w:rsidR="00262EAD">
        <w:tab/>
      </w:r>
      <w:r w:rsidR="00262EAD">
        <w:tab/>
        <w:t>0</w:t>
      </w:r>
    </w:p>
    <w:p w:rsidR="00262EAD" w:rsidRDefault="00262EAD"/>
    <w:p w:rsidR="00262EAD" w:rsidRDefault="00262EAD">
      <w:r>
        <w:t>Inmate on Inmate Abusive Sexual Contact:</w:t>
      </w:r>
    </w:p>
    <w:p w:rsidR="00262EAD" w:rsidRDefault="00262EAD" w:rsidP="00262EAD">
      <w:r>
        <w:tab/>
        <w:t>Substantiated</w:t>
      </w:r>
      <w:r>
        <w:tab/>
      </w:r>
      <w:r>
        <w:tab/>
        <w:t>0</w:t>
      </w:r>
    </w:p>
    <w:p w:rsidR="00262EAD" w:rsidRDefault="00262EAD" w:rsidP="00262EAD">
      <w:r>
        <w:tab/>
        <w:t>Unsubstantiated</w:t>
      </w:r>
      <w:r>
        <w:tab/>
        <w:t>0</w:t>
      </w:r>
    </w:p>
    <w:p w:rsidR="00262EAD" w:rsidRPr="00262EAD" w:rsidRDefault="00262EAD" w:rsidP="00262EAD">
      <w:pPr>
        <w:rPr>
          <w:u w:val="single"/>
        </w:rPr>
      </w:pPr>
      <w:r>
        <w:tab/>
      </w:r>
      <w:r w:rsidRPr="00262EAD">
        <w:rPr>
          <w:u w:val="single"/>
        </w:rPr>
        <w:t>Unfounded</w:t>
      </w:r>
      <w:r w:rsidRPr="00262EAD">
        <w:rPr>
          <w:u w:val="single"/>
        </w:rPr>
        <w:tab/>
      </w:r>
      <w:r w:rsidRPr="00262EAD">
        <w:rPr>
          <w:u w:val="single"/>
        </w:rPr>
        <w:tab/>
        <w:t>0</w:t>
      </w:r>
    </w:p>
    <w:p w:rsidR="00262EAD" w:rsidRDefault="00262EAD" w:rsidP="00262EAD">
      <w:r>
        <w:tab/>
        <w:t>Total</w:t>
      </w:r>
      <w:r>
        <w:tab/>
      </w:r>
      <w:r>
        <w:tab/>
      </w:r>
      <w:r>
        <w:tab/>
        <w:t>0</w:t>
      </w:r>
    </w:p>
    <w:p w:rsidR="00262EAD" w:rsidRDefault="00262EAD"/>
    <w:p w:rsidR="00262EAD" w:rsidRDefault="00262EAD"/>
    <w:p w:rsidR="00262EAD" w:rsidRDefault="00262EAD">
      <w:r>
        <w:lastRenderedPageBreak/>
        <w:t>Inmate on Inmate Sexual Harassment:</w:t>
      </w:r>
    </w:p>
    <w:p w:rsidR="00262EAD" w:rsidRDefault="00262EAD" w:rsidP="00262EAD">
      <w:r>
        <w:tab/>
        <w:t>Substantiated</w:t>
      </w:r>
      <w:r>
        <w:tab/>
      </w:r>
      <w:r>
        <w:tab/>
        <w:t>0</w:t>
      </w:r>
    </w:p>
    <w:p w:rsidR="00262EAD" w:rsidRDefault="00262EAD" w:rsidP="00262EAD">
      <w:r>
        <w:tab/>
        <w:t>Unsubstantiated</w:t>
      </w:r>
      <w:r>
        <w:tab/>
        <w:t>0</w:t>
      </w:r>
    </w:p>
    <w:p w:rsidR="00262EAD" w:rsidRPr="00262EAD" w:rsidRDefault="00262EAD" w:rsidP="00262EAD">
      <w:pPr>
        <w:rPr>
          <w:u w:val="single"/>
        </w:rPr>
      </w:pPr>
      <w:r>
        <w:tab/>
      </w:r>
      <w:r w:rsidRPr="00262EAD">
        <w:rPr>
          <w:u w:val="single"/>
        </w:rPr>
        <w:t>Unfounded</w:t>
      </w:r>
      <w:r w:rsidRPr="00262EAD">
        <w:rPr>
          <w:u w:val="single"/>
        </w:rPr>
        <w:tab/>
      </w:r>
      <w:r w:rsidRPr="00262EAD">
        <w:rPr>
          <w:u w:val="single"/>
        </w:rPr>
        <w:tab/>
        <w:t>0</w:t>
      </w:r>
    </w:p>
    <w:p w:rsidR="00262EAD" w:rsidRDefault="00262EAD" w:rsidP="00262EAD">
      <w:r>
        <w:tab/>
        <w:t>Total</w:t>
      </w:r>
      <w:r>
        <w:tab/>
      </w:r>
      <w:r>
        <w:tab/>
      </w:r>
      <w:r>
        <w:tab/>
        <w:t>0</w:t>
      </w:r>
    </w:p>
    <w:p w:rsidR="00C468B8" w:rsidRDefault="00C468B8"/>
    <w:p w:rsidR="00262EAD" w:rsidRDefault="00262EAD">
      <w:r>
        <w:t xml:space="preserve">Staff Sexual Misconduct (includes sexual contact, voyeurism, </w:t>
      </w:r>
      <w:proofErr w:type="gramStart"/>
      <w:r>
        <w:t>exposure</w:t>
      </w:r>
      <w:proofErr w:type="gramEnd"/>
      <w:r>
        <w:t>):</w:t>
      </w:r>
    </w:p>
    <w:p w:rsidR="00262EAD" w:rsidRDefault="00262EAD" w:rsidP="00262EAD">
      <w:r>
        <w:tab/>
        <w:t>Substantiated</w:t>
      </w:r>
      <w:r>
        <w:tab/>
      </w:r>
      <w:r>
        <w:tab/>
        <w:t>0</w:t>
      </w:r>
    </w:p>
    <w:p w:rsidR="00262EAD" w:rsidRDefault="00262EAD" w:rsidP="00262EAD">
      <w:r>
        <w:tab/>
        <w:t>Unsubstantiated</w:t>
      </w:r>
      <w:r>
        <w:tab/>
        <w:t>0</w:t>
      </w:r>
    </w:p>
    <w:p w:rsidR="00262EAD" w:rsidRPr="00262EAD" w:rsidRDefault="00262EAD" w:rsidP="00262EAD">
      <w:pPr>
        <w:rPr>
          <w:u w:val="single"/>
        </w:rPr>
      </w:pPr>
      <w:r>
        <w:tab/>
      </w:r>
      <w:r w:rsidRPr="00262EAD">
        <w:rPr>
          <w:u w:val="single"/>
        </w:rPr>
        <w:t>Unfounded</w:t>
      </w:r>
      <w:r w:rsidRPr="00262EAD">
        <w:rPr>
          <w:u w:val="single"/>
        </w:rPr>
        <w:tab/>
      </w:r>
      <w:r w:rsidRPr="00262EAD">
        <w:rPr>
          <w:u w:val="single"/>
        </w:rPr>
        <w:tab/>
        <w:t>0</w:t>
      </w:r>
    </w:p>
    <w:p w:rsidR="00262EAD" w:rsidRDefault="00262EAD" w:rsidP="00262EAD">
      <w:r>
        <w:tab/>
        <w:t>Total</w:t>
      </w:r>
      <w:r>
        <w:tab/>
      </w:r>
      <w:r>
        <w:tab/>
      </w:r>
      <w:r>
        <w:tab/>
        <w:t>0</w:t>
      </w:r>
    </w:p>
    <w:p w:rsidR="00262EAD" w:rsidRDefault="00262EAD"/>
    <w:p w:rsidR="00262EAD" w:rsidRDefault="00262EAD">
      <w:r>
        <w:t>Staff Sexual Harassment:</w:t>
      </w:r>
    </w:p>
    <w:p w:rsidR="00262EAD" w:rsidRDefault="00262EAD" w:rsidP="00262EAD">
      <w:r>
        <w:tab/>
        <w:t>Substantiated</w:t>
      </w:r>
      <w:r>
        <w:tab/>
      </w:r>
      <w:r>
        <w:tab/>
        <w:t>0</w:t>
      </w:r>
    </w:p>
    <w:p w:rsidR="00262EAD" w:rsidRDefault="00262EAD" w:rsidP="00262EAD">
      <w:r>
        <w:tab/>
        <w:t>Unsubstantiated</w:t>
      </w:r>
      <w:r>
        <w:tab/>
        <w:t>0</w:t>
      </w:r>
    </w:p>
    <w:p w:rsidR="00262EAD" w:rsidRPr="00262EAD" w:rsidRDefault="00262EAD" w:rsidP="00262EAD">
      <w:pPr>
        <w:rPr>
          <w:u w:val="single"/>
        </w:rPr>
      </w:pPr>
      <w:r>
        <w:tab/>
      </w:r>
      <w:r w:rsidRPr="00262EAD">
        <w:rPr>
          <w:u w:val="single"/>
        </w:rPr>
        <w:t>Unfounded</w:t>
      </w:r>
      <w:r w:rsidRPr="00262EAD">
        <w:rPr>
          <w:u w:val="single"/>
        </w:rPr>
        <w:tab/>
      </w:r>
      <w:r w:rsidRPr="00262EAD">
        <w:rPr>
          <w:u w:val="single"/>
        </w:rPr>
        <w:tab/>
        <w:t>0</w:t>
      </w:r>
    </w:p>
    <w:p w:rsidR="00262EAD" w:rsidRDefault="00262EAD" w:rsidP="00262EAD">
      <w:r>
        <w:tab/>
        <w:t>Total</w:t>
      </w:r>
      <w:r>
        <w:tab/>
      </w:r>
      <w:r>
        <w:tab/>
      </w:r>
      <w:r>
        <w:tab/>
        <w:t>0</w:t>
      </w:r>
    </w:p>
    <w:p w:rsidR="00262EAD" w:rsidRDefault="00262EAD"/>
    <w:p w:rsidR="00416A99" w:rsidRPr="00416A99" w:rsidRDefault="00416A99">
      <w:pPr>
        <w:rPr>
          <w:b/>
          <w:u w:val="single"/>
        </w:rPr>
      </w:pPr>
      <w:r w:rsidRPr="00416A99">
        <w:rPr>
          <w:b/>
          <w:u w:val="single"/>
        </w:rPr>
        <w:t>Effectiveness of PREA efforts</w:t>
      </w:r>
    </w:p>
    <w:p w:rsidR="00416A99" w:rsidRDefault="00262EAD">
      <w:r>
        <w:t>Since there were no previous years of data collection it is not possible to compare the data with previous years.  There was a substantial increase in the knowledge, training and discussion of PREA standards among the entire staff of the I.S.F. facility.  This resulted in heightened awareness among the staff.  There were several special training sessions on the PREA standards, cross-gender pat down, reporting responsibilities, specialized responsibilities including investigators, advocates, and PREA Coordinator.</w:t>
      </w:r>
    </w:p>
    <w:p w:rsidR="007017FA" w:rsidRDefault="007017FA"/>
    <w:p w:rsidR="00416A99" w:rsidRPr="00416A99" w:rsidRDefault="00416A99">
      <w:pPr>
        <w:rPr>
          <w:b/>
          <w:u w:val="single"/>
        </w:rPr>
      </w:pPr>
      <w:r w:rsidRPr="00416A99">
        <w:rPr>
          <w:b/>
          <w:u w:val="single"/>
        </w:rPr>
        <w:t xml:space="preserve">Progress </w:t>
      </w:r>
      <w:r w:rsidR="00262EAD">
        <w:rPr>
          <w:b/>
          <w:u w:val="single"/>
        </w:rPr>
        <w:t>in 2018</w:t>
      </w:r>
    </w:p>
    <w:p w:rsidR="007017FA" w:rsidRDefault="00262EAD">
      <w:r>
        <w:t>Generally awareness was increased in all areas of sexual abuse prevention, detection and res</w:t>
      </w:r>
      <w:r w:rsidR="002C201B">
        <w:t>p</w:t>
      </w:r>
      <w:r>
        <w:t xml:space="preserve">onse policies, practices and training.  </w:t>
      </w:r>
    </w:p>
    <w:p w:rsidR="007017FA" w:rsidRDefault="007017FA"/>
    <w:p w:rsidR="00416A99" w:rsidRPr="00416A99" w:rsidRDefault="00416A99">
      <w:pPr>
        <w:rPr>
          <w:b/>
          <w:u w:val="single"/>
        </w:rPr>
      </w:pPr>
      <w:r w:rsidRPr="00416A99">
        <w:rPr>
          <w:b/>
          <w:u w:val="single"/>
        </w:rPr>
        <w:t>Continuing Areas o</w:t>
      </w:r>
      <w:r w:rsidR="00262EAD">
        <w:rPr>
          <w:b/>
          <w:u w:val="single"/>
        </w:rPr>
        <w:t>f Focus and Improvement for 2019</w:t>
      </w:r>
    </w:p>
    <w:p w:rsidR="00416A99" w:rsidRDefault="002C201B">
      <w:r>
        <w:t>The PREA audit will be in March of 2019.  The I.S.F. facility will need to show continual compliance in several areas.  The training started in 2018 must continue in 2019.  The goal for 2019 is to secure PREA compliance and continue the training, improving processes regarding special circumstances (i.e. transgender and intersex residents), and increasing our audit capacity.</w:t>
      </w:r>
    </w:p>
    <w:p w:rsidR="007017FA" w:rsidRDefault="007017FA"/>
    <w:p w:rsidR="00416A99" w:rsidRPr="00416A99" w:rsidRDefault="00416A99">
      <w:pPr>
        <w:rPr>
          <w:b/>
          <w:u w:val="single"/>
        </w:rPr>
      </w:pPr>
      <w:r w:rsidRPr="00416A99">
        <w:rPr>
          <w:b/>
          <w:u w:val="single"/>
        </w:rPr>
        <w:t>Conclusion:</w:t>
      </w:r>
    </w:p>
    <w:p w:rsidR="00416A99" w:rsidRDefault="002C201B">
      <w:r>
        <w:t xml:space="preserve">The 2nd 25th Judicial District I.S.F. will continue to do what is necessary to secure the PREA compliance and certification.  We will continue to maintain a strong commitment to complying with the PREA standards, keeping our residents safe, and maintaining a zero tolerance to all forms of sexual abuse and sexual harassment within our </w:t>
      </w:r>
      <w:proofErr w:type="spellStart"/>
      <w:r>
        <w:t>facilty</w:t>
      </w:r>
      <w:proofErr w:type="spellEnd"/>
      <w:r>
        <w:t>.</w:t>
      </w:r>
    </w:p>
    <w:p w:rsidR="002C201B" w:rsidRDefault="002C201B"/>
    <w:p w:rsidR="002C201B" w:rsidRDefault="002C201B"/>
    <w:p w:rsidR="00AB4A3D" w:rsidRPr="000E0231" w:rsidRDefault="002C201B">
      <w:pPr>
        <w:rPr>
          <w:u w:val="single"/>
        </w:rPr>
      </w:pPr>
      <w:r w:rsidRPr="002C201B">
        <w:rPr>
          <w:u w:val="single"/>
        </w:rPr>
        <w:t xml:space="preserve">       F.H. (Buddy) Martin                   </w:t>
      </w:r>
      <w:r>
        <w:t xml:space="preserve">         </w:t>
      </w:r>
      <w:r>
        <w:tab/>
      </w:r>
      <w:r>
        <w:tab/>
      </w:r>
      <w:r w:rsidRPr="002C201B">
        <w:rPr>
          <w:u w:val="single"/>
        </w:rPr>
        <w:t xml:space="preserve">      5/16/19</w:t>
      </w:r>
      <w:r w:rsidR="000E0231">
        <w:rPr>
          <w:u w:val="single"/>
        </w:rPr>
        <w:t>____</w:t>
      </w:r>
    </w:p>
    <w:p w:rsidR="00AB4A3D" w:rsidRDefault="000E0231">
      <w:r>
        <w:t>I.S.F. Director</w:t>
      </w:r>
      <w:r>
        <w:tab/>
      </w:r>
      <w:r>
        <w:tab/>
      </w:r>
      <w:r>
        <w:tab/>
      </w:r>
      <w:r>
        <w:tab/>
      </w:r>
      <w:r>
        <w:tab/>
      </w:r>
      <w:r>
        <w:tab/>
        <w:t xml:space="preserve">    Date</w:t>
      </w:r>
    </w:p>
    <w:p w:rsidR="003B64F6" w:rsidRDefault="003B64F6">
      <w:bookmarkStart w:id="0" w:name="_GoBack"/>
      <w:bookmarkEnd w:id="0"/>
    </w:p>
    <w:sectPr w:rsidR="003B64F6" w:rsidSect="003B64F6">
      <w:headerReference w:type="first" r:id="rId7"/>
      <w:pgSz w:w="12240" w:h="15840"/>
      <w:pgMar w:top="1440" w:right="1440" w:bottom="1440" w:left="1440" w:header="36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FD" w:rsidRDefault="00D433FD" w:rsidP="003B64F6">
      <w:r>
        <w:separator/>
      </w:r>
    </w:p>
  </w:endnote>
  <w:endnote w:type="continuationSeparator" w:id="0">
    <w:p w:rsidR="00D433FD" w:rsidRDefault="00D433FD" w:rsidP="003B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FD" w:rsidRDefault="00D433FD" w:rsidP="003B64F6">
      <w:r>
        <w:separator/>
      </w:r>
    </w:p>
  </w:footnote>
  <w:footnote w:type="continuationSeparator" w:id="0">
    <w:p w:rsidR="00D433FD" w:rsidRDefault="00D433FD" w:rsidP="003B6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F6" w:rsidRDefault="003B64F6" w:rsidP="003B64F6">
    <w:pPr>
      <w:pStyle w:val="Header"/>
      <w:ind w:left="-810"/>
      <w:rPr>
        <w:noProof/>
      </w:rPr>
    </w:pPr>
    <w:r>
      <w:rPr>
        <w:noProof/>
      </w:rPr>
      <mc:AlternateContent>
        <mc:Choice Requires="wps">
          <w:drawing>
            <wp:anchor distT="0" distB="0" distL="114300" distR="114300" simplePos="0" relativeHeight="251659264" behindDoc="0" locked="0" layoutInCell="1" allowOverlap="1" wp14:anchorId="7822FF55" wp14:editId="71AA58A9">
              <wp:simplePos x="0" y="0"/>
              <wp:positionH relativeFrom="column">
                <wp:posOffset>876300</wp:posOffset>
              </wp:positionH>
              <wp:positionV relativeFrom="paragraph">
                <wp:posOffset>0</wp:posOffset>
              </wp:positionV>
              <wp:extent cx="4953000" cy="1123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53000"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758" w:type="dxa"/>
                            <w:tblBorders>
                              <w:insideV w:val="single" w:sz="4" w:space="0" w:color="auto"/>
                            </w:tblBorders>
                            <w:tblLook w:val="01E0" w:firstRow="1" w:lastRow="1" w:firstColumn="1" w:lastColumn="1" w:noHBand="0" w:noVBand="0"/>
                          </w:tblPr>
                          <w:tblGrid>
                            <w:gridCol w:w="7758"/>
                          </w:tblGrid>
                          <w:tr w:rsidR="00AB4A3D" w:rsidRPr="00594D73" w:rsidTr="00416A99">
                            <w:trPr>
                              <w:trHeight w:hRule="exact" w:val="370"/>
                            </w:trPr>
                            <w:tc>
                              <w:tcPr>
                                <w:tcW w:w="7758" w:type="dxa"/>
                              </w:tcPr>
                              <w:p w:rsidR="00AB4A3D" w:rsidRPr="00594D73" w:rsidRDefault="00AB4A3D" w:rsidP="003464ED">
                                <w:pPr>
                                  <w:widowControl w:val="0"/>
                                  <w:autoSpaceDE w:val="0"/>
                                  <w:autoSpaceDN w:val="0"/>
                                  <w:adjustRightInd w:val="0"/>
                                  <w:jc w:val="center"/>
                                  <w:rPr>
                                    <w:sz w:val="29"/>
                                    <w:szCs w:val="29"/>
                                  </w:rPr>
                                </w:pPr>
                                <w:r>
                                  <w:rPr>
                                    <w:sz w:val="29"/>
                                    <w:szCs w:val="29"/>
                                  </w:rPr>
                                  <w:t>2nd 25th Judicial District Intermediate Sanction Facility (ISF)</w:t>
                                </w:r>
                              </w:p>
                            </w:tc>
                          </w:tr>
                          <w:tr w:rsidR="00AB4A3D" w:rsidRPr="00594D73" w:rsidTr="00416A99">
                            <w:trPr>
                              <w:trHeight w:hRule="exact" w:val="343"/>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4024 F M 794</w:t>
                                </w:r>
                              </w:p>
                            </w:tc>
                          </w:tr>
                          <w:tr w:rsidR="00AB4A3D" w:rsidRPr="00594D73" w:rsidTr="00416A99">
                            <w:trPr>
                              <w:trHeight w:hRule="exact" w:val="415"/>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Gonzales, TX 78629</w:t>
                                </w:r>
                              </w:p>
                            </w:tc>
                          </w:tr>
                          <w:tr w:rsidR="00AB4A3D" w:rsidRPr="00594D73" w:rsidTr="00416A99">
                            <w:trPr>
                              <w:trHeight w:hRule="exact" w:val="388"/>
                            </w:trPr>
                            <w:tc>
                              <w:tcPr>
                                <w:tcW w:w="7758" w:type="dxa"/>
                              </w:tcPr>
                              <w:p w:rsidR="00AB4A3D" w:rsidRPr="00AB4A3D" w:rsidRDefault="00AB4A3D" w:rsidP="003464ED">
                                <w:pPr>
                                  <w:widowControl w:val="0"/>
                                  <w:autoSpaceDE w:val="0"/>
                                  <w:autoSpaceDN w:val="0"/>
                                  <w:adjustRightInd w:val="0"/>
                                  <w:rPr>
                                    <w:sz w:val="29"/>
                                    <w:szCs w:val="29"/>
                                  </w:rPr>
                                </w:pPr>
                                <w:r w:rsidRPr="00AB4A3D">
                                  <w:rPr>
                                    <w:sz w:val="29"/>
                                    <w:szCs w:val="29"/>
                                  </w:rPr>
                                  <w:t>830-672-3622                                  Fax: 830-672-3071</w:t>
                                </w:r>
                              </w:p>
                            </w:tc>
                          </w:tr>
                        </w:tbl>
                        <w:p w:rsidR="003B64F6" w:rsidRDefault="003B64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9pt;margin-top:0;width:390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sgjAIAAIs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" fillcolor="white [3201]" stroked="f" strokeweight=".5pt">
              <v:textbox>
                <w:txbxContent>
                  <w:tbl>
                    <w:tblPr>
                      <w:tblW w:w="7758" w:type="dxa"/>
                      <w:tblBorders>
                        <w:insideV w:val="single" w:sz="4" w:space="0" w:color="auto"/>
                      </w:tblBorders>
                      <w:tblLook w:val="01E0" w:firstRow="1" w:lastRow="1" w:firstColumn="1" w:lastColumn="1" w:noHBand="0" w:noVBand="0"/>
                    </w:tblPr>
                    <w:tblGrid>
                      <w:gridCol w:w="7758"/>
                    </w:tblGrid>
                    <w:tr w:rsidR="00AB4A3D" w:rsidRPr="00594D73" w:rsidTr="00416A99">
                      <w:trPr>
                        <w:trHeight w:hRule="exact" w:val="370"/>
                      </w:trPr>
                      <w:tc>
                        <w:tcPr>
                          <w:tcW w:w="7758" w:type="dxa"/>
                        </w:tcPr>
                        <w:p w:rsidR="00AB4A3D" w:rsidRPr="00594D73" w:rsidRDefault="00AB4A3D" w:rsidP="003464ED">
                          <w:pPr>
                            <w:widowControl w:val="0"/>
                            <w:autoSpaceDE w:val="0"/>
                            <w:autoSpaceDN w:val="0"/>
                            <w:adjustRightInd w:val="0"/>
                            <w:jc w:val="center"/>
                            <w:rPr>
                              <w:sz w:val="29"/>
                              <w:szCs w:val="29"/>
                            </w:rPr>
                          </w:pPr>
                          <w:r>
                            <w:rPr>
                              <w:sz w:val="29"/>
                              <w:szCs w:val="29"/>
                            </w:rPr>
                            <w:t>2nd 25th Judicial District Intermediate Sanction Facility (ISF)</w:t>
                          </w:r>
                        </w:p>
                      </w:tc>
                    </w:tr>
                    <w:tr w:rsidR="00AB4A3D" w:rsidRPr="00594D73" w:rsidTr="00416A99">
                      <w:trPr>
                        <w:trHeight w:hRule="exact" w:val="343"/>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4024 F M 794</w:t>
                          </w:r>
                        </w:p>
                      </w:tc>
                    </w:tr>
                    <w:tr w:rsidR="00AB4A3D" w:rsidRPr="00594D73" w:rsidTr="00416A99">
                      <w:trPr>
                        <w:trHeight w:hRule="exact" w:val="415"/>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Gonzales, TX 78629</w:t>
                          </w:r>
                        </w:p>
                      </w:tc>
                    </w:tr>
                    <w:tr w:rsidR="00AB4A3D" w:rsidRPr="00594D73" w:rsidTr="00416A99">
                      <w:trPr>
                        <w:trHeight w:hRule="exact" w:val="388"/>
                      </w:trPr>
                      <w:tc>
                        <w:tcPr>
                          <w:tcW w:w="7758" w:type="dxa"/>
                        </w:tcPr>
                        <w:p w:rsidR="00AB4A3D" w:rsidRPr="00AB4A3D" w:rsidRDefault="00AB4A3D" w:rsidP="003464ED">
                          <w:pPr>
                            <w:widowControl w:val="0"/>
                            <w:autoSpaceDE w:val="0"/>
                            <w:autoSpaceDN w:val="0"/>
                            <w:adjustRightInd w:val="0"/>
                            <w:rPr>
                              <w:sz w:val="29"/>
                              <w:szCs w:val="29"/>
                            </w:rPr>
                          </w:pPr>
                          <w:r w:rsidRPr="00AB4A3D">
                            <w:rPr>
                              <w:sz w:val="29"/>
                              <w:szCs w:val="29"/>
                            </w:rPr>
                            <w:t>830-672-3622                                  Fax: 830-672-3071</w:t>
                          </w:r>
                        </w:p>
                      </w:tc>
                    </w:tr>
                  </w:tbl>
                  <w:p w:rsidR="003B64F6" w:rsidRDefault="003B64F6"/>
                </w:txbxContent>
              </v:textbox>
            </v:shape>
          </w:pict>
        </mc:Fallback>
      </mc:AlternateContent>
    </w:r>
    <w:r>
      <w:rPr>
        <w:noProof/>
      </w:rPr>
      <w:drawing>
        <wp:inline distT="0" distB="0" distL="0" distR="0" wp14:anchorId="62A3DE5F">
          <wp:extent cx="1134110" cy="11277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127760"/>
                  </a:xfrm>
                  <a:prstGeom prst="rect">
                    <a:avLst/>
                  </a:prstGeom>
                  <a:noFill/>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F6"/>
    <w:rsid w:val="000E0231"/>
    <w:rsid w:val="00262EAD"/>
    <w:rsid w:val="002C201B"/>
    <w:rsid w:val="003B64F6"/>
    <w:rsid w:val="00416A99"/>
    <w:rsid w:val="004C3968"/>
    <w:rsid w:val="004F5874"/>
    <w:rsid w:val="00600B63"/>
    <w:rsid w:val="00663318"/>
    <w:rsid w:val="007017FA"/>
    <w:rsid w:val="007D3086"/>
    <w:rsid w:val="009D502C"/>
    <w:rsid w:val="00AB249E"/>
    <w:rsid w:val="00AB4A3D"/>
    <w:rsid w:val="00C468B8"/>
    <w:rsid w:val="00D12A44"/>
    <w:rsid w:val="00D433FD"/>
    <w:rsid w:val="00DB793C"/>
    <w:rsid w:val="00E17EF4"/>
    <w:rsid w:val="00ED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F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F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3B64F6"/>
  </w:style>
  <w:style w:type="paragraph" w:styleId="Footer">
    <w:name w:val="footer"/>
    <w:basedOn w:val="Normal"/>
    <w:link w:val="FooterChar"/>
    <w:uiPriority w:val="99"/>
    <w:unhideWhenUsed/>
    <w:rsid w:val="003B64F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3B64F6"/>
  </w:style>
  <w:style w:type="paragraph" w:styleId="BalloonText">
    <w:name w:val="Balloon Text"/>
    <w:basedOn w:val="Normal"/>
    <w:link w:val="BalloonTextChar"/>
    <w:uiPriority w:val="99"/>
    <w:semiHidden/>
    <w:unhideWhenUsed/>
    <w:rsid w:val="003B64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6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F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F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3B64F6"/>
  </w:style>
  <w:style w:type="paragraph" w:styleId="Footer">
    <w:name w:val="footer"/>
    <w:basedOn w:val="Normal"/>
    <w:link w:val="FooterChar"/>
    <w:uiPriority w:val="99"/>
    <w:unhideWhenUsed/>
    <w:rsid w:val="003B64F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3B64F6"/>
  </w:style>
  <w:style w:type="paragraph" w:styleId="BalloonText">
    <w:name w:val="Balloon Text"/>
    <w:basedOn w:val="Normal"/>
    <w:link w:val="BalloonTextChar"/>
    <w:uiPriority w:val="99"/>
    <w:semiHidden/>
    <w:unhideWhenUsed/>
    <w:rsid w:val="003B64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6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BuddyMartin</dc:creator>
  <cp:lastModifiedBy>BuddyMartin</cp:lastModifiedBy>
  <cp:revision>3</cp:revision>
  <dcterms:created xsi:type="dcterms:W3CDTF">2019-05-16T14:13:00Z</dcterms:created>
  <dcterms:modified xsi:type="dcterms:W3CDTF">2019-05-16T14:54:00Z</dcterms:modified>
</cp:coreProperties>
</file>